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MCS-Super-Intelligence for Accounting</w:t>
      </w:r>
    </w:p>
    <w:p>
      <w:pPr>
        <w:pStyle w:val="Subtitle"/>
      </w:pPr>
      <w:r>
        <w:t>Discover Context and service design for small and medium businesses</w:t>
      </w:r>
    </w:p>
    <w:p>
      <w:r>
        <w:t>This document analyzes each of four supplied Cogent Analytics accounting and AI solution and price analyses, then combines them into a proposed accounting intelligence service. It is written for SMB owners, controllers, accounting service providers, and implementation partners.</w:t>
      </w:r>
    </w:p>
    <w:p>
      <w:pPr>
        <w:pStyle w:val="Heading2"/>
      </w:pPr>
      <w:r>
        <w:t>Main conclusion</w:t>
      </w:r>
    </w:p>
    <w:p>
      <w:r>
        <w:t>The strongest proposition is to establish trustworthy financial records and controls, then use AI to reduce repetitive accounting work and explain cash, margin, and exceptions. Automation should follow accounting readiness, with an accountable person approving financial decisions and releases.</w:t>
      </w:r>
    </w:p>
    <w:p>
      <w:pPr>
        <w:pStyle w:val="Heading2"/>
      </w:pPr>
      <w:r>
        <w:t>The problem</w:t>
      </w:r>
    </w:p>
    <w:p>
      <w:r>
        <w:t>SMBs often assemble financial answers from unreconciled books, spreadsheets, invoices, bank records, and operational systems. Accounting teams spend skilled time collecting and correcting data, while owners receive late or uncertain information about cash, costs, and profitability.</w:t>
      </w:r>
    </w:p>
    <w:p>
      <w:pPr>
        <w:pStyle w:val="Heading2"/>
      </w:pPr>
      <w:r>
        <w:t>The proposed solution</w:t>
      </w:r>
    </w:p>
    <w:p>
      <w:r>
        <w:t>MCS combines Moneycloud Services, professional accounting oversight, governed workflow automation, and contextual decision support. It restores the financial foundation, automates a bounded workflow, and presents explanations linked to approved accounting evidence.</w:t>
      </w:r>
    </w:p>
    <w:p>
      <w:pPr>
        <w:pStyle w:val="Heading2"/>
      </w:pPr>
      <w:r>
        <w:t>Value proposition and mission</w:t>
      </w:r>
    </w:p>
    <w:p>
      <w:r>
        <w:t>Give SMB owners dependable financial answers sooner, while helping accounting teams spend less time rebuilding information and more time resolving exceptions and advising the business. Our mission is to turn trusted accounting data into timely, explainable actions that improve control of cash, cost, and profitability.</w:t>
      </w:r>
    </w:p>
    <w:p>
      <w:pPr>
        <w:pStyle w:val="Heading2"/>
      </w:pPr>
      <w:r>
        <w:t>Meaning of Super Intelligence</w:t>
      </w:r>
    </w:p>
    <w:p>
      <w:r>
        <w:t>SI is the proposed service name for coordinated accounting expertise, deterministic controls, AI assistance, and business context. It does not claim artificial general intelligence, autonomous professional judgment, or a currently operating product. Proposed capabilities require implementation and validation.</w:t>
      </w:r>
    </w:p>
    <w:p>
      <w:r>
        <w:t>Evidence basis: the four attached documents. Their service statements are attributed to Cogent; their prices are independent estimates. The combined MCS design and pilot are recommendations. No Cogent partnership or endorsement is established by these files.</w:t>
      </w:r>
    </w:p>
    <w:p>
      <w:r>
        <w:br w:type="page"/>
      </w:r>
    </w:p>
    <w:p>
      <w:pPr>
        <w:pStyle w:val="Heading1"/>
      </w:pPr>
      <w:r>
        <w:t>Discover Context for Accounting Solution Analysis</w:t>
      </w:r>
    </w:p>
    <w:p>
      <w:r>
        <w:t>Source S1  Cogent_Analytics_BCS_Solution_Analysis_Accounting(1).docx</w:t>
      </w:r>
    </w:p>
    <w:p>
      <w:pPr>
        <w:pStyle w:val="Heading2"/>
      </w:pPr>
      <w:r>
        <w:t>Context and relationships</w:t>
      </w:r>
    </w:p>
    <w:p>
      <w:r>
        <w:t>The source positions accounting as the financial foundation of measurement, analytics, strategy, and operations. Its sequence is diagnose, restore, redesign, enable, and sustain. Bookkeeping supplies the transaction record; accounting interprets it; CFO support informs forward decisions.</w:t>
      </w:r>
    </w:p>
    <w:p>
      <w:pPr>
        <w:pStyle w:val="Heading2"/>
      </w:pPr>
      <w:r>
        <w:t>Problem and solution</w:t>
      </w:r>
    </w:p>
    <w:p>
      <w:r>
        <w:t>The primary problem is unreliable management information caused by incomplete records, unreconciled balances, fragmented duties, and weak controls. The source response combines systems review, cleanup and migration, recurring controls, staff training, and fractional accounting or CFO support.</w:t>
      </w:r>
    </w:p>
    <w:p>
      <w:pPr>
        <w:pStyle w:val="Heading2"/>
      </w:pPr>
      <w:r>
        <w:t>Value proposition for SMB Accounting SI</w:t>
      </w:r>
    </w:p>
    <w:p>
      <w:r>
        <w:t>A trusted ledger and close process provide the evidence layer for intelligence. MCS should first establish account ownership, reconciliations, master data, approval rules, and reliable financial reports. AI can then help prepare explanations and exception queues without concealing unresolved balances.</w:t>
      </w:r>
    </w:p>
    <w:tbl>
      <w:tblPr>
        <w:tblW w:type="auto" w:w="0"/>
        <w:tblLayout w:type="fixed"/>
        <w:tblLook w:firstColumn="1" w:firstRow="1" w:lastColumn="0" w:lastRow="0" w:noHBand="0" w:noVBand="1" w:val="04A0"/>
      </w:tblPr>
      <w:tblGrid>
        <w:gridCol w:w="1944"/>
        <w:gridCol w:w="7992"/>
      </w:tblGrid>
      <w:tr>
        <w:trPr>
          <w:tblHeader/>
        </w:trPr>
        <w:tc>
          <w:tcPr>
            <w:tcW w:type="dxa" w:w="4968"/>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Discover dimension</w:t>
            </w:r>
          </w:p>
        </w:tc>
        <w:tc>
          <w:tcPr>
            <w:tcW w:type="dxa" w:w="4968"/>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MCS interpretation</w:t>
            </w:r>
          </w:p>
        </w:tc>
      </w:tr>
      <w:tr>
        <w:tc>
          <w:tcPr>
            <w:tcW w:type="dxa" w:w="194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Why</w:t>
            </w:r>
          </w:p>
        </w:tc>
        <w:tc>
          <w:tcPr>
            <w:tcW w:type="dxa" w:w="799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Restore owner confidence and reliable operating decisions.</w:t>
            </w:r>
          </w:p>
        </w:tc>
      </w:tr>
      <w:tr>
        <w:tc>
          <w:tcPr>
            <w:tcW w:type="dxa" w:w="194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How</w:t>
            </w:r>
          </w:p>
        </w:tc>
        <w:tc>
          <w:tcPr>
            <w:tcW w:type="dxa" w:w="799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Review records; reconcile; standardize; train; sustain controls.</w:t>
            </w:r>
          </w:p>
        </w:tc>
      </w:tr>
      <w:tr>
        <w:tc>
          <w:tcPr>
            <w:tcW w:type="dxa" w:w="194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What</w:t>
            </w:r>
          </w:p>
        </w:tc>
        <w:tc>
          <w:tcPr>
            <w:tcW w:type="dxa" w:w="799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Ledger, bank evidence, invoices, receivables, payables, payroll and reports.</w:t>
            </w:r>
          </w:p>
        </w:tc>
      </w:tr>
      <w:tr>
        <w:tc>
          <w:tcPr>
            <w:tcW w:type="dxa" w:w="194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Who</w:t>
            </w:r>
          </w:p>
        </w:tc>
        <w:tc>
          <w:tcPr>
            <w:tcW w:type="dxa" w:w="799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Owner, bookkeeper, controller, CFO and system administrator.</w:t>
            </w:r>
          </w:p>
        </w:tc>
      </w:tr>
      <w:tr>
        <w:tc>
          <w:tcPr>
            <w:tcW w:type="dxa" w:w="194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Where</w:t>
            </w:r>
          </w:p>
        </w:tc>
        <w:tc>
          <w:tcPr>
            <w:tcW w:type="dxa" w:w="799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Approved financial systems and controlled document sources.</w:t>
            </w:r>
          </w:p>
        </w:tc>
      </w:tr>
      <w:tr>
        <w:tc>
          <w:tcPr>
            <w:tcW w:type="dxa" w:w="194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When</w:t>
            </w:r>
          </w:p>
        </w:tc>
        <w:tc>
          <w:tcPr>
            <w:tcW w:type="dxa" w:w="799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Daily transaction routines, scheduled close and management review.</w:t>
            </w:r>
          </w:p>
        </w:tc>
      </w:tr>
    </w:tbl>
    <w:p>
      <w:pPr>
        <w:pStyle w:val="Heading2"/>
      </w:pPr>
      <w:r>
        <w:t>Service boundaries and evidence</w:t>
      </w:r>
    </w:p>
    <w:p>
      <w:r>
        <w:t>MCS should distinguish transaction processing, management accounting, CFO advice, tax, and attestation in the engagement. The source reports a client identifying more than $150,000 in missed profitability; that example is company-reported and is not a MCS forecast or a typical result.</w:t>
      </w:r>
    </w:p>
    <w:p>
      <w:pPr>
        <w:pStyle w:val="Heading2"/>
      </w:pPr>
      <w:r>
        <w:t>Recommended deliverables</w:t>
      </w:r>
    </w:p>
    <w:p>
      <w:r>
        <w:t>Readiness assessment; reconciled opening baseline; chart-of-accounts mapping; close calendar; approval matrix; reporting package; documented exceptions; staff training; named owners and acceptance sign-off. Measure unresolved items, close days, rework hours, and report delivery timeliness before adding AI.</w:t>
      </w:r>
    </w:p>
    <w:p>
      <w:r>
        <w:br w:type="page"/>
      </w:r>
    </w:p>
    <w:p>
      <w:pPr>
        <w:pStyle w:val="Heading1"/>
      </w:pPr>
      <w:r>
        <w:t>Discover Context for Accounting Price Analysis</w:t>
      </w:r>
    </w:p>
    <w:p>
      <w:r>
        <w:t>Source S2  Cogent_Analytics_BCS_PA_for_Accounting(1).docx</w:t>
      </w:r>
    </w:p>
    <w:p>
      <w:pPr>
        <w:pStyle w:val="Heading2"/>
      </w:pPr>
      <w:r>
        <w:t>Context and pricing problem</w:t>
      </w:r>
    </w:p>
    <w:p>
      <w:r>
        <w:t>This file models professional effort for remediation and recurring accounting. It states that no public Cogent fee schedule was found during its September 2026 research. All amounts are source estimates, not current verified rates or a MCS quotation. Its representative business assumption is $1 million to $100 million revenue, so the full rebuild may be oversized for a smaller SMB.</w:t>
      </w:r>
    </w:p>
    <w:tbl>
      <w:tblPr>
        <w:tblW w:type="auto" w:w="0"/>
        <w:tblLayout w:type="fixed"/>
        <w:tblLook w:firstColumn="1" w:firstRow="1" w:lastColumn="0" w:lastRow="0" w:noHBand="0" w:noVBand="1" w:val="04A0"/>
      </w:tblPr>
      <w:tblGrid>
        <w:gridCol w:w="3384"/>
        <w:gridCol w:w="2376"/>
        <w:gridCol w:w="4176"/>
      </w:tblGrid>
      <w:tr>
        <w:trPr>
          <w:tblHeader/>
        </w:trPr>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Source planning scope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Estimated fee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MCS implication</w:t>
            </w:r>
          </w:p>
        </w:tc>
      </w:tr>
      <w:tr>
        <w:tc>
          <w:tcPr>
            <w:tcW w:type="dxa" w:w="338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Focused stabilization</w:t>
            </w:r>
          </w:p>
        </w:tc>
        <w:tc>
          <w:tcPr>
            <w:tcW w:type="dxa" w:w="237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 xml:space="preserve"> $15,000–$30,000</w:t>
            </w:r>
          </w:p>
        </w:tc>
        <w:tc>
          <w:tcPr>
            <w:tcW w:type="dxa" w:w="417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Use when a narrow accounting backlog is the barrier.</w:t>
            </w:r>
          </w:p>
        </w:tc>
      </w:tr>
      <w:tr>
        <w:tc>
          <w:tcPr>
            <w:tcW w:type="dxa" w:w="338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Typical accounting rebuild</w:t>
            </w:r>
          </w:p>
        </w:tc>
        <w:tc>
          <w:tcPr>
            <w:tcW w:type="dxa" w:w="2376"/>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$35,000–$80,000</w:t>
            </w:r>
          </w:p>
        </w:tc>
        <w:tc>
          <w:tcPr>
            <w:tcW w:type="dxa" w:w="4176"/>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Reserve for material cleanup and process redesign.</w:t>
            </w:r>
          </w:p>
        </w:tc>
      </w:tr>
      <w:tr>
        <w:tc>
          <w:tcPr>
            <w:tcW w:type="dxa" w:w="338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Managed accounting / controller</w:t>
            </w:r>
          </w:p>
        </w:tc>
        <w:tc>
          <w:tcPr>
            <w:tcW w:type="dxa" w:w="237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$5,000–$18,000 per month</w:t>
            </w:r>
          </w:p>
        </w:tc>
        <w:tc>
          <w:tcPr>
            <w:tcW w:type="dxa" w:w="417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Size to transactions, entities, close and review duties.</w:t>
            </w:r>
          </w:p>
        </w:tc>
      </w:tr>
      <w:tr>
        <w:tc>
          <w:tcPr>
            <w:tcW w:type="dxa" w:w="338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Source representative recurring band</w:t>
            </w:r>
          </w:p>
        </w:tc>
        <w:tc>
          <w:tcPr>
            <w:tcW w:type="dxa" w:w="2376"/>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$8,000–$12,000 per month</w:t>
            </w:r>
          </w:p>
        </w:tc>
        <w:tc>
          <w:tcPr>
            <w:tcW w:type="dxa" w:w="4176"/>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Budget example rather than mandatory service tier.</w:t>
            </w:r>
          </w:p>
        </w:tc>
      </w:tr>
      <w:tr>
        <w:tc>
          <w:tcPr>
            <w:tcW w:type="dxa" w:w="338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Separate Discovery</w:t>
            </w:r>
          </w:p>
        </w:tc>
        <w:tc>
          <w:tcPr>
            <w:tcW w:type="dxa" w:w="237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$15,000–$30,000</w:t>
            </w:r>
          </w:p>
        </w:tc>
        <w:tc>
          <w:tcPr>
            <w:tcW w:type="dxa" w:w="417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Reuse shared diagnostic work and document any credit.</w:t>
            </w:r>
          </w:p>
        </w:tc>
      </w:tr>
    </w:tbl>
    <w:p>
      <w:pPr>
        <w:pStyle w:val="Heading2"/>
      </w:pPr>
      <w:r>
        <w:t>Solution and value proposition</w:t>
      </w:r>
    </w:p>
    <w:p>
      <w:r>
        <w:t>MCS should separate stabilization, intelligence implementation, and ongoing service. Match price to entities, volume, record condition, systems, and accountability. A clean-book SMB should not automatically purchase a full rebuild. A constrained client can start with one bottleneck and a capped pilot.</w:t>
      </w:r>
    </w:p>
    <w:p>
      <w:pPr>
        <w:pStyle w:val="Heading2"/>
      </w:pPr>
      <w:r>
        <w:t>Economic interpretation</w:t>
      </w:r>
    </w:p>
    <w:p>
      <w:r>
        <w:t>The source uses $55,000 as a provisional rebuild midpoint and estimates $151,000–$199,000 for that rebuild plus 12 months of managed accounting at $8,000–$12,000 monthly, excluding Discovery and other costs. These examples establish budgeting context, not the affordability or ROI of MCS.</w:t>
      </w:r>
    </w:p>
    <w:p>
      <w:r>
        <w:t>Compare incremental MCS cost with attainable incremental benefit. Separate recurring contribution, one-time recoveries, released working capital, and staff capacity. Cash released from receivables is not recurring profit. Time savings require a credible realization path before they are treated as financial benefit.</w:t>
      </w:r>
    </w:p>
    <w:p>
      <w:pPr>
        <w:pStyle w:val="Heading2"/>
      </w:pPr>
      <w:r>
        <w:t>Commercial requirements</w:t>
      </w:r>
    </w:p>
    <w:p>
      <w:r>
        <w:t>Document professional roles, scope, volumes, deliverables, acceptance, software and usage costs, service levels, overages, termination, data ownership, export rights, and excluded professional services. Avoid billing for the same review, configuration, or training in both accounting and AI phases.</w:t>
      </w:r>
    </w:p>
    <w:p>
      <w:r>
        <w:br w:type="page"/>
      </w:r>
    </w:p>
    <w:p>
      <w:pPr>
        <w:pStyle w:val="Heading1"/>
      </w:pPr>
      <w:r>
        <w:t>Discover Context for AI Solutions Analysis</w:t>
      </w:r>
    </w:p>
    <w:p>
      <w:r>
        <w:t>Source S3  Cogent_Analytics_BCS_Solution_Analysis_AI_Solutions(1).docx</w:t>
      </w:r>
    </w:p>
    <w:p>
      <w:pPr>
        <w:pStyle w:val="Heading2"/>
      </w:pPr>
      <w:r>
        <w:t>Context and relationships</w:t>
      </w:r>
    </w:p>
    <w:p>
      <w:r>
        <w:t>The source describes a workflow implementation service linking operations, analytics, people, and strategy. It favors existing client technology, a measurable first use case, historical validation, client-owned environments, documented data flows, and training.</w:t>
      </w:r>
    </w:p>
    <w:p>
      <w:pPr>
        <w:pStyle w:val="Heading2"/>
      </w:pPr>
      <w:r>
        <w:t>Problem and solution</w:t>
      </w:r>
    </w:p>
    <w:p>
      <w:r>
        <w:t>The problem is repetitive administration and fragmented knowledge: teams rebuild documents and reports, copy data between systems, and rely on a few experts. The source solution is discover, design, build, validate, deploy, and transfer a bounded AI-enabled workflow.</w:t>
      </w:r>
    </w:p>
    <w:p>
      <w:pPr>
        <w:pStyle w:val="Heading2"/>
      </w:pPr>
      <w:r>
        <w:t>Accounting SI translation</w:t>
      </w:r>
    </w:p>
    <w:tbl>
      <w:tblPr>
        <w:tblW w:type="auto" w:w="0"/>
        <w:tblLayout w:type="fixed"/>
        <w:tblLook w:firstColumn="1" w:firstRow="1" w:lastColumn="0" w:lastRow="0" w:noHBand="0" w:noVBand="1" w:val="04A0"/>
      </w:tblPr>
      <w:tblGrid>
        <w:gridCol w:w="2160"/>
        <w:gridCol w:w="3672"/>
        <w:gridCol w:w="4104"/>
      </w:tblGrid>
      <w:tr>
        <w:trPr>
          <w:tblHeader/>
        </w:trPr>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Proposed workflow</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AI assistance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Accountable review</w:t>
            </w:r>
          </w:p>
        </w:tc>
      </w:tr>
      <w:tr>
        <w:tc>
          <w:tcPr>
            <w:tcW w:type="dxa" w:w="2160"/>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Payables preparation</w:t>
            </w:r>
          </w:p>
        </w:tc>
        <w:tc>
          <w:tcPr>
            <w:tcW w:type="dxa" w:w="367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Extract invoice fields; suggest coding; flag duplicates.</w:t>
            </w:r>
          </w:p>
        </w:tc>
        <w:tc>
          <w:tcPr>
            <w:tcW w:type="dxa" w:w="41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Approve coding, exceptions, vendor changes and payments.</w:t>
            </w:r>
          </w:p>
        </w:tc>
      </w:tr>
      <w:tr>
        <w:tc>
          <w:tcPr>
            <w:tcW w:type="dxa" w:w="2160"/>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Reconciliation preparation</w:t>
            </w:r>
          </w:p>
        </w:tc>
        <w:tc>
          <w:tcPr>
            <w:tcW w:type="dxa" w:w="367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Suggest matches and explain unmatched items.</w:t>
            </w:r>
          </w:p>
        </w:tc>
        <w:tc>
          <w:tcPr>
            <w:tcW w:type="dxa" w:w="410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Resolve differences and sign off reconciliations.</w:t>
            </w:r>
          </w:p>
        </w:tc>
      </w:tr>
      <w:tr>
        <w:tc>
          <w:tcPr>
            <w:tcW w:type="dxa" w:w="2160"/>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Close reporting</w:t>
            </w:r>
          </w:p>
        </w:tc>
        <w:tc>
          <w:tcPr>
            <w:tcW w:type="dxa" w:w="367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Draft source-linked variance explanations.</w:t>
            </w:r>
          </w:p>
        </w:tc>
        <w:tc>
          <w:tcPr>
            <w:tcW w:type="dxa" w:w="41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Review journals, period status and released reports.</w:t>
            </w:r>
          </w:p>
        </w:tc>
      </w:tr>
      <w:tr>
        <w:tc>
          <w:tcPr>
            <w:tcW w:type="dxa" w:w="2160"/>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Receivables follow-up</w:t>
            </w:r>
          </w:p>
        </w:tc>
        <w:tc>
          <w:tcPr>
            <w:tcW w:type="dxa" w:w="367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Prioritize overdue items and draft reminders.</w:t>
            </w:r>
          </w:p>
        </w:tc>
        <w:tc>
          <w:tcPr>
            <w:tcW w:type="dxa" w:w="410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Approve contact, credits, disputes and write-offs.</w:t>
            </w:r>
          </w:p>
        </w:tc>
      </w:tr>
      <w:tr>
        <w:tc>
          <w:tcPr>
            <w:tcW w:type="dxa" w:w="2160"/>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Cash and margin questions</w:t>
            </w:r>
          </w:p>
        </w:tc>
        <w:tc>
          <w:tcPr>
            <w:tcW w:type="dxa" w:w="367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Retrieve approved reports and explain drivers.</w:t>
            </w:r>
          </w:p>
        </w:tc>
        <w:tc>
          <w:tcPr>
            <w:tcW w:type="dxa" w:w="41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Review assumptions, forecasts and business actions.</w:t>
            </w:r>
          </w:p>
        </w:tc>
      </w:tr>
    </w:tbl>
    <w:p>
      <w:pPr>
        <w:pStyle w:val="Heading2"/>
      </w:pPr>
      <w:r>
        <w:t>Value proposition</w:t>
      </w:r>
    </w:p>
    <w:p>
      <w:r>
        <w:t>Bring repeatable preparation into the accounting workflow so scarce staff can focus on exceptions, control, and advice. Every answer should identify its entity, period, source, freshness, and assumptions. If records conflict or evidence is missing, the system should flag the gap and route it to its owner.</w:t>
      </w:r>
    </w:p>
    <w:p>
      <w:pPr>
        <w:pStyle w:val="Heading2"/>
      </w:pPr>
      <w:r>
        <w:t>Validation and transfer</w:t>
      </w:r>
    </w:p>
    <w:p>
      <w:r>
        <w:t>The source says Cogent tests three to five historical examples. For an accounting pilot, use those only as an initial feasibility check; expand testing to representative normal and exception cases, duplicate invoices, credits, cutoffs, missing documents, and access restrictions. Agree acceptance thresholds before release, including critical-error tolerance and reviewer workload.</w:t>
      </w:r>
    </w:p>
    <w:p>
      <w:r>
        <w:t>Transfer deliverables should include configured workflows, relevant source and configuration, permission design, SOPs, training, logs, rollback steps, and support ownership. Client account ownership alone does not prove data residency or sovereignty; map every connector and model data flow.</w:t>
      </w:r>
    </w:p>
    <w:p>
      <w:r>
        <w:br w:type="page"/>
      </w:r>
    </w:p>
    <w:p>
      <w:pPr>
        <w:pStyle w:val="Heading1"/>
      </w:pPr>
      <w:r>
        <w:t>Discover Context for AI Price Analysis</w:t>
      </w:r>
    </w:p>
    <w:p>
      <w:r>
        <w:t>Source S4  Cogent_Analytics_BCS_PA_for_AI_Solutions(1).docx</w:t>
      </w:r>
    </w:p>
    <w:p>
      <w:pPr>
        <w:pStyle w:val="Heading2"/>
      </w:pPr>
      <w:r>
        <w:t>Context and price drivers</w:t>
      </w:r>
    </w:p>
    <w:p>
      <w:r>
        <w:t>This file models a bounded workflow rather than an enterprise AI platform. Cost increases with custom engineering, multiple systems, sensitive data, high volumes, assurance requirements, and continued support. Calendar duration is distinct from aggregate professional effort.</w:t>
      </w:r>
    </w:p>
    <w:tbl>
      <w:tblPr>
        <w:tblW w:type="auto" w:w="0"/>
        <w:tblLayout w:type="fixed"/>
        <w:tblLook w:firstColumn="1" w:firstRow="1" w:lastColumn="0" w:lastRow="0" w:noHBand="0" w:noVBand="1" w:val="04A0"/>
      </w:tblPr>
      <w:tblGrid>
        <w:gridCol w:w="3096"/>
        <w:gridCol w:w="2808"/>
        <w:gridCol w:w="4032"/>
      </w:tblGrid>
      <w:tr>
        <w:trPr>
          <w:tblHeader/>
        </w:trPr>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Source planning scope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Estimated professional fee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Scope interpretation</w:t>
            </w:r>
          </w:p>
        </w:tc>
      </w:tr>
      <w:tr>
        <w:tc>
          <w:tcPr>
            <w:tcW w:type="dxa" w:w="309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Assessment or prototype</w:t>
            </w:r>
          </w:p>
        </w:tc>
        <w:tc>
          <w:tcPr>
            <w:tcW w:type="dxa" w:w="28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$8,000–$18,000</w:t>
            </w:r>
          </w:p>
        </w:tc>
        <w:tc>
          <w:tcPr>
            <w:tcW w:type="dxa" w:w="403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Feasibility, baseline and limited proof.</w:t>
            </w:r>
          </w:p>
        </w:tc>
      </w:tr>
      <w:tr>
        <w:tc>
          <w:tcPr>
            <w:tcW w:type="dxa" w:w="3096"/>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Typical single workflow</w:t>
            </w:r>
          </w:p>
        </w:tc>
        <w:tc>
          <w:tcPr>
            <w:tcW w:type="dxa" w:w="28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$20,000–$45,000</w:t>
            </w:r>
          </w:p>
        </w:tc>
        <w:tc>
          <w:tcPr>
            <w:tcW w:type="dxa" w:w="403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Build, integration, validation and transfer.</w:t>
            </w:r>
          </w:p>
        </w:tc>
      </w:tr>
      <w:tr>
        <w:tc>
          <w:tcPr>
            <w:tcW w:type="dxa" w:w="309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Integrated or regulated build</w:t>
            </w:r>
          </w:p>
        </w:tc>
        <w:tc>
          <w:tcPr>
            <w:tcW w:type="dxa" w:w="28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$50,000–$140,000+</w:t>
            </w:r>
          </w:p>
        </w:tc>
        <w:tc>
          <w:tcPr>
            <w:tcW w:type="dxa" w:w="403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Custom or multi-system production work.</w:t>
            </w:r>
          </w:p>
        </w:tc>
      </w:tr>
      <w:tr>
        <w:tc>
          <w:tcPr>
            <w:tcW w:type="dxa" w:w="3096"/>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Post-launch support</w:t>
            </w:r>
          </w:p>
        </w:tc>
        <w:tc>
          <w:tcPr>
            <w:tcW w:type="dxa" w:w="28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$3,000–$12,000 per month</w:t>
            </w:r>
          </w:p>
        </w:tc>
        <w:tc>
          <w:tcPr>
            <w:tcW w:type="dxa" w:w="4032"/>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Scope and duration must be separately defined.</w:t>
            </w:r>
          </w:p>
        </w:tc>
      </w:tr>
    </w:tbl>
    <w:p>
      <w:pPr>
        <w:pStyle w:val="Heading2"/>
      </w:pPr>
      <w:r>
        <w:t>Problem and solution for Accounting SI</w:t>
      </w:r>
    </w:p>
    <w:p>
      <w:r>
        <w:t>The commercial problem is buying an AI label without a clear process boundary or full operating cost. MCS should define the accounting task, baseline, permitted actions, exception path, historical tests, owner, and acceptance criteria before committing to implementation.</w:t>
      </w:r>
    </w:p>
    <w:p>
      <w:pPr>
        <w:pStyle w:val="Heading2"/>
      </w:pPr>
      <w:r>
        <w:t>Value proposition and affordability</w:t>
      </w:r>
    </w:p>
    <w:p>
      <w:r>
        <w:t>The source uses a $32,500 provisional single-workflow midpoint and a 3× gross benefit hurdle of $97,500. This hurdle is a buyer screen rather than an ROI forecast. Smaller SMBs may need a lower-cost scope, reuse of existing systems, shared delivery economics, or a stronger benefit case to justify a bespoke build.</w:t>
      </w:r>
    </w:p>
    <w:p>
      <w:pPr>
        <w:pStyle w:val="Heading2"/>
      </w:pPr>
      <w:r>
        <w:t>Combined cost logic</w:t>
      </w:r>
    </w:p>
    <w:p>
      <w:r>
        <w:t>Do not add all four source ranges into a default package. The solution analyses describe capabilities; the price analyses estimate related work. Use one shared discovery, choose only required accounting remediation, then add the incremental AI build and an explicitly scoped recurring service. Reconcile overlapping data preparation, reporting, project management, controls, and training.</w:t>
      </w:r>
    </w:p>
    <w:p>
      <w:r>
        <w:t>A combined quote must show accounting work, AI work, shared work credits, ongoing professional service, software and model usage, data remediation, security review, client effort, and contingency. Source support retainers are substantial; a leaner MCS operating allowance must be negotiated and validated rather than assumed available.</w:t>
      </w:r>
    </w:p>
    <w:p>
      <w:pPr>
        <w:pStyle w:val="Heading2"/>
      </w:pPr>
      <w:r>
        <w:t>Deployment considerations</w:t>
      </w:r>
    </w:p>
    <w:p>
      <w:r>
        <w:t>On-premise or hybrid delivery may be considered where customer requirements justify it. The attachments do not define a SIPTEA hardware bill of materials, infrastructure price, hosting topology, or available integrations. Specify and price those separately rather than presenting them as included capabilities.</w:t>
      </w:r>
    </w:p>
    <w:p>
      <w:r>
        <w:br w:type="page"/>
      </w:r>
    </w:p>
    <w:p>
      <w:pPr>
        <w:pStyle w:val="Heading1"/>
      </w:pPr>
      <w:r>
        <w:t>Combined Accounting SI Service Blueprint</w:t>
      </w:r>
    </w:p>
    <w:p>
      <w:pPr>
        <w:pStyle w:val="Heading2"/>
      </w:pPr>
      <w:r>
        <w:t>Proposed operating model</w:t>
      </w:r>
    </w:p>
    <w:p>
      <w:r>
        <w:t>Connect approved financial sources to a controlled accounting evidence layer. Standardize entity, account, transaction, document, vendor, customer, job, period, reconciliation, and approval identifiers. Use deterministic checks for arithmetic, duplicates, cutoffs, and permissions; use AI for extraction, suggestions, retrieval, and explanations.</w:t>
      </w:r>
    </w:p>
    <w:p>
      <w:r>
        <w:t>The evidence layer supports an exception queue and management views for cash, receivables, payables, margin, and close status. An answer must link back to records, show freshness and unresolved issues, and respect the user’s access. Financial actions remain subject to the documented approval policy.</w:t>
      </w:r>
    </w:p>
    <w:tbl>
      <w:tblPr>
        <w:tblW w:type="auto" w:w="0"/>
        <w:tblLayout w:type="fixed"/>
        <w:tblLook w:firstColumn="1" w:firstRow="1" w:lastColumn="0" w:lastRow="0" w:noHBand="0" w:noVBand="1" w:val="04A0"/>
      </w:tblPr>
      <w:tblGrid>
        <w:gridCol w:w="1584"/>
        <w:gridCol w:w="4464"/>
        <w:gridCol w:w="3888"/>
      </w:tblGrid>
      <w:tr>
        <w:trPr>
          <w:tblHeader/>
        </w:trPr>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Service stage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Deliverable</w:t>
            </w:r>
          </w:p>
        </w:tc>
        <w:tc>
          <w:tcPr>
            <w:tcW w:type="dxa" w:w="3312"/>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Release condition</w:t>
            </w:r>
          </w:p>
        </w:tc>
      </w:tr>
      <w:tr>
        <w:tc>
          <w:tcPr>
            <w:tcW w:type="dxa" w:w="158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Discover</w:t>
            </w:r>
          </w:p>
        </w:tc>
        <w:tc>
          <w:tcPr>
            <w:tcW w:type="dxa" w:w="446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Workflow baseline, readiness score and scoped business case.</w:t>
            </w:r>
          </w:p>
        </w:tc>
        <w:tc>
          <w:tcPr>
            <w:tcW w:type="dxa" w:w="388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Named process and benefit owner; accessible evidence.</w:t>
            </w:r>
          </w:p>
        </w:tc>
      </w:tr>
      <w:tr>
        <w:tc>
          <w:tcPr>
            <w:tcW w:type="dxa" w:w="158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Stabilize</w:t>
            </w:r>
          </w:p>
        </w:tc>
        <w:tc>
          <w:tcPr>
            <w:tcW w:type="dxa" w:w="446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Reconciled baseline, controls and corrected master data.</w:t>
            </w:r>
          </w:p>
        </w:tc>
        <w:tc>
          <w:tcPr>
            <w:tcW w:type="dxa" w:w="388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Accountant accepts the data needed for the pilot.</w:t>
            </w:r>
          </w:p>
        </w:tc>
      </w:tr>
      <w:tr>
        <w:tc>
          <w:tcPr>
            <w:tcW w:type="dxa" w:w="158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Pilot</w:t>
            </w:r>
          </w:p>
        </w:tc>
        <w:tc>
          <w:tcPr>
            <w:tcW w:type="dxa" w:w="446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One workflow; historical tests; reviewer queue; SOP.</w:t>
            </w:r>
          </w:p>
        </w:tc>
        <w:tc>
          <w:tcPr>
            <w:tcW w:type="dxa" w:w="388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Agreed accuracy, critical-error and exception criteria met.</w:t>
            </w:r>
          </w:p>
        </w:tc>
      </w:tr>
      <w:tr>
        <w:tc>
          <w:tcPr>
            <w:tcW w:type="dxa" w:w="158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Operate</w:t>
            </w:r>
          </w:p>
        </w:tc>
        <w:tc>
          <w:tcPr>
            <w:tcW w:type="dxa" w:w="4464"/>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Logs, monitoring, monthly value review and support.</w:t>
            </w:r>
          </w:p>
        </w:tc>
        <w:tc>
          <w:tcPr>
            <w:tcW w:type="dxa" w:w="388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Owner accepts performance, cost and operating duties.</w:t>
            </w:r>
          </w:p>
        </w:tc>
      </w:tr>
      <w:tr>
        <w:tc>
          <w:tcPr>
            <w:tcW w:type="dxa" w:w="158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Expand</w:t>
            </w:r>
          </w:p>
        </w:tc>
        <w:tc>
          <w:tcPr>
            <w:tcW w:type="dxa" w:w="446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Next use case and updated financial case.</w:t>
            </w:r>
          </w:p>
        </w:tc>
        <w:tc>
          <w:tcPr>
            <w:tcW w:type="dxa" w:w="388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Sustained results justify additional scope.</w:t>
            </w:r>
          </w:p>
        </w:tc>
      </w:tr>
    </w:tbl>
    <w:p>
      <w:pPr>
        <w:pStyle w:val="Heading2"/>
      </w:pPr>
      <w:r>
        <w:t>First pilot recommendation</w:t>
      </w:r>
    </w:p>
    <w:p>
      <w:r>
        <w:t>Start with invoice preparation and exception review for one entity and one financial environment. Outputs are extracted fields, suggested coding, source links, duplicate flags, and a reviewer queue. Exclude autonomous posting, payment release, vendor bank changes, and tax decisions from the first pilot.</w:t>
      </w:r>
    </w:p>
    <w:p>
      <w:r>
        <w:t>A proposed six-week sequence is week 1 discovery, weeks 2–3 readiness and configuration, weeks 4–5 validation and shadow use, and week 6 controlled release and handoff. This is a MCS planning assumption, not a delivery promise; material backlog or integration complexity extends the timeline.</w:t>
      </w:r>
    </w:p>
    <w:p>
      <w:pPr>
        <w:pStyle w:val="Heading2"/>
      </w:pPr>
      <w:r>
        <w:t>Responsibilities and proposed differentiation</w:t>
      </w:r>
    </w:p>
    <w:p>
      <w:r>
        <w:t>The SMB owns data, access, priorities, and benefit realization. The accounting lead owns policies, balances, financial judgments, and approvals. The implementation partner owns configured workflow delivery and technical support. The MCS lead coordinates the shared plan, acceptance, and measurement. Cogent could be evaluated as a provider; no joint venture is assumed.</w:t>
      </w:r>
    </w:p>
    <w:p>
      <w:r>
        <w:t>MCS differentiates through accounting readiness, shared discovery, source-linked explanations, accountable review, and an explicit cost-to-value ledger. Existing platforms should be reused where fit is demonstrated. Customer-controlled deployment and portable artifacts are requirements to verify, not claims of capabilities already delivered.</w:t>
      </w:r>
    </w:p>
    <w:p>
      <w:r>
        <w:br w:type="page"/>
      </w:r>
    </w:p>
    <w:p>
      <w:pPr>
        <w:pStyle w:val="Heading1"/>
      </w:pPr>
      <w:r>
        <w:t>Value Model and Implementation Decision</w:t>
      </w:r>
    </w:p>
    <w:p>
      <w:pPr>
        <w:pStyle w:val="Heading2"/>
      </w:pPr>
      <w:r>
        <w:t>Illustrative invoice workflow case</w:t>
      </w:r>
    </w:p>
    <w:p>
      <w:r>
        <w:t>The following example is an independent scenario, not a source result or customer forecast. Measure actual reviewer and exception time before adopting its assumptions.</w:t>
      </w:r>
    </w:p>
    <w:tbl>
      <w:tblPr>
        <w:tblW w:type="auto" w:w="0"/>
        <w:tblLayout w:type="fixed"/>
        <w:tblLook w:firstColumn="1" w:firstRow="1" w:lastColumn="0" w:lastRow="0" w:noHBand="0" w:noVBand="1" w:val="04A0"/>
      </w:tblPr>
      <w:tblGrid>
        <w:gridCol w:w="5328"/>
        <w:gridCol w:w="4608"/>
      </w:tblGrid>
      <w:tr>
        <w:trPr>
          <w:tblHeader/>
        </w:trPr>
        <w:tc>
          <w:tcPr>
            <w:tcW w:type="dxa" w:w="4968"/>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Assumption or result</w:t>
            </w:r>
          </w:p>
        </w:tc>
        <w:tc>
          <w:tcPr>
            <w:tcW w:type="dxa" w:w="4968"/>
            <w:shd w:fill="17334A"/>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color w:val="FFFFFF"/>
                <w:sz w:val="20"/>
              </w:rPr>
              <w:t>Illustrative value</w:t>
            </w:r>
          </w:p>
        </w:tc>
      </w:tr>
      <w:tr>
        <w:tc>
          <w:tcPr>
            <w:tcW w:type="dxa" w:w="532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Monthly invoices and minutes before / after</w:t>
            </w:r>
          </w:p>
        </w:tc>
        <w:tc>
          <w:tcPr>
            <w:tcW w:type="dxa" w:w="46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1,000 invoices; 8 minutes / 3 minutes</w:t>
            </w:r>
          </w:p>
        </w:tc>
      </w:tr>
      <w:tr>
        <w:tc>
          <w:tcPr>
            <w:tcW w:type="dxa" w:w="532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Monthly capacity released</w:t>
            </w:r>
          </w:p>
        </w:tc>
        <w:tc>
          <w:tcPr>
            <w:tcW w:type="dxa" w:w="46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1,000 × 5 ÷ 60 = 83.3 hours</w:t>
            </w:r>
          </w:p>
        </w:tc>
      </w:tr>
      <w:tr>
        <w:tc>
          <w:tcPr>
            <w:tcW w:type="dxa" w:w="532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Loaded hourly value and realization assumption</w:t>
            </w:r>
          </w:p>
        </w:tc>
        <w:tc>
          <w:tcPr>
            <w:tcW w:type="dxa" w:w="46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$45 per hour; 60% of capacity has an economic use</w:t>
            </w:r>
          </w:p>
        </w:tc>
      </w:tr>
      <w:tr>
        <w:tc>
          <w:tcPr>
            <w:tcW w:type="dxa" w:w="532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Annual realized capacity value</w:t>
            </w:r>
          </w:p>
        </w:tc>
        <w:tc>
          <w:tcPr>
            <w:tcW w:type="dxa" w:w="46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83.3 × $45 × 12 × 60% = $27,000</w:t>
            </w:r>
          </w:p>
        </w:tc>
      </w:tr>
      <w:tr>
        <w:tc>
          <w:tcPr>
            <w:tcW w:type="dxa" w:w="532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Separate evidenced error / rework benefit</w:t>
            </w:r>
          </w:p>
        </w:tc>
        <w:tc>
          <w:tcPr>
            <w:tcW w:type="dxa" w:w="46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$12,000 annually; excludes time already counted</w:t>
            </w:r>
          </w:p>
        </w:tc>
      </w:tr>
      <w:tr>
        <w:tc>
          <w:tcPr>
            <w:tcW w:type="dxa" w:w="532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Annual gross economic benefit</w:t>
            </w:r>
          </w:p>
        </w:tc>
        <w:tc>
          <w:tcPr>
            <w:tcW w:type="dxa" w:w="46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$39,000</w:t>
            </w:r>
          </w:p>
        </w:tc>
      </w:tr>
      <w:tr>
        <w:tc>
          <w:tcPr>
            <w:tcW w:type="dxa" w:w="532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Incremental recurring operating cost allowance</w:t>
            </w:r>
          </w:p>
        </w:tc>
        <w:tc>
          <w:tcPr>
            <w:tcW w:type="dxa" w:w="46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$12,000 annually; hypothetical, subject to quote</w:t>
            </w:r>
          </w:p>
        </w:tc>
      </w:tr>
      <w:tr>
        <w:tc>
          <w:tcPr>
            <w:tcW w:type="dxa" w:w="532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Annual net recurring benefit</w:t>
            </w:r>
          </w:p>
        </w:tc>
        <w:tc>
          <w:tcPr>
            <w:tcW w:type="dxa" w:w="46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$27,000</w:t>
            </w:r>
          </w:p>
        </w:tc>
      </w:tr>
      <w:tr>
        <w:tc>
          <w:tcPr>
            <w:tcW w:type="dxa" w:w="532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Illustrative setup cost</w:t>
            </w:r>
          </w:p>
        </w:tc>
        <w:tc>
          <w:tcPr>
            <w:tcW w:type="dxa" w:w="46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$32,500; source AI midpoint, excludes accounting cleanup</w:t>
            </w:r>
          </w:p>
        </w:tc>
      </w:tr>
      <w:tr>
        <w:tc>
          <w:tcPr>
            <w:tcW w:type="dxa" w:w="532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Simple payback after stabilization</w:t>
            </w:r>
          </w:p>
        </w:tc>
        <w:tc>
          <w:tcPr>
            <w:tcW w:type="dxa" w:w="4608"/>
            <w:shd w:fill="F2F5F7"/>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$32,500 ÷ $27,000 × 12 = 14.4 months</w:t>
            </w:r>
          </w:p>
        </w:tc>
      </w:tr>
      <w:tr>
        <w:tc>
          <w:tcPr>
            <w:tcW w:type="dxa" w:w="532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First full operating year net after setup</w:t>
            </w:r>
          </w:p>
        </w:tc>
        <w:tc>
          <w:tcPr>
            <w:tcW w:type="dxa" w:w="460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60" w:before="60"/>
            </w:pPr>
            <w:r>
              <w:rPr>
                <w:b w:val="0"/>
                <w:color w:val="000000"/>
                <w:sz w:val="20"/>
              </w:rPr>
              <w:t>$39,000 − $12,000 − $32,500 = −$5,500</w:t>
            </w:r>
          </w:p>
        </w:tc>
      </w:tr>
    </w:tbl>
    <w:p>
      <w:r>
        <w:t>The recurring allowance is lower than the source AI support retainer range and is not an available offer. If incremental support instead costs $3,000 monthly, net annual benefit falls to $3,000 and simple payback rises to 130 months before licenses and other costs. This example therefore needs scope-specific cost validation.</w:t>
      </w:r>
    </w:p>
    <w:p>
      <w:pPr>
        <w:pStyle w:val="Heading2"/>
      </w:pPr>
      <w:r>
        <w:t>Decision and measurement</w:t>
      </w:r>
    </w:p>
    <w:p>
      <w:r>
        <w:t>Proceed only if the selected workflow has reliable inputs, accountable review, sufficient repetition, and attainable benefits that justify the full incremental cost. Track accepted-field accuracy, critical errors, reviewer minutes, exception rate, close time where relevant, adoption, recurring cost, and realized contribution. Separate capacity value from cash savings and working-capital effects.</w:t>
      </w:r>
    </w:p>
    <w:p>
      <w:pPr>
        <w:pStyle w:val="Heading2"/>
      </w:pPr>
      <w:r>
        <w:t>Website content and source register</w:t>
      </w:r>
    </w:p>
    <w:p>
      <w:r>
        <w:t>The accompanying site presents the problem, proposed solution, service workflow, value model, pilot, and four-source evidence base. It is an informational service concept, not a working accounting application or a connected financial system.</w:t>
      </w:r>
    </w:p>
    <w:p>
      <w:r>
        <w:t>S1 Accounting solution analysis and S3 AI Solutions analysis are supplied backgrounders citing Cogent service pages accessed September 2, 2026. S2 Accounting price analysis and S4 AI price analysis are supplied independent estimates referencing September 2026 research. Original filenames appear in their individual sections. No current provider pricing, integrations, credentials, or partnership status was independently verified for this synthesis.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MCS Super Intelligence for Accounting  •  October 2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MCS   /   ACCOUNTING INTELLIGENCE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MCS-Super-Intelligence for Accounting</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